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72C" w:rsidRDefault="00DD772C" w:rsidP="001A54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Запрос ценовых предложений </w:t>
      </w:r>
    </w:p>
    <w:p w:rsidR="001A5400" w:rsidRPr="002C24F2" w:rsidRDefault="00DD772C" w:rsidP="001A54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proofErr w:type="gramStart"/>
      <w:r w:rsidRPr="00DD772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согласно постановления</w:t>
      </w:r>
      <w:proofErr w:type="gramEnd"/>
      <w:r w:rsidRPr="00DD772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Правительства Республики Каза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хстан от 4 июня 2021 года № 375</w:t>
      </w:r>
    </w:p>
    <w:p w:rsidR="001A5400" w:rsidRPr="001A5400" w:rsidRDefault="001A5400" w:rsidP="001A54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</w:pPr>
      <w:r w:rsidRPr="001A54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 xml:space="preserve">ГКП "Каргалинская районная больница" на ПХВ. </w:t>
      </w:r>
    </w:p>
    <w:p w:rsidR="001A5400" w:rsidRPr="001A5400" w:rsidRDefault="001A5400" w:rsidP="001A54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</w:pPr>
      <w:r w:rsidRPr="001A54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 xml:space="preserve">Актюбинская область, </w:t>
      </w:r>
      <w:proofErr w:type="spellStart"/>
      <w:r w:rsidRPr="001A54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>Каргалинский</w:t>
      </w:r>
      <w:proofErr w:type="spellEnd"/>
      <w:r w:rsidRPr="001A54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 xml:space="preserve"> район, </w:t>
      </w:r>
      <w:proofErr w:type="spellStart"/>
      <w:r w:rsidRPr="001A54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>с</w:t>
      </w:r>
      <w:proofErr w:type="gramStart"/>
      <w:r w:rsidRPr="001A54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>.Б</w:t>
      </w:r>
      <w:proofErr w:type="gramEnd"/>
      <w:r w:rsidRPr="001A54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>адамша</w:t>
      </w:r>
      <w:proofErr w:type="spellEnd"/>
      <w:r w:rsidRPr="001A54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>, ЦИБУЛЬЧИКА, 4</w:t>
      </w:r>
    </w:p>
    <w:p w:rsidR="001A5400" w:rsidRPr="002C24F2" w:rsidRDefault="001A5400" w:rsidP="001A54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1A5400" w:rsidRDefault="001A5400" w:rsidP="001A54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</w:pP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объявляет о проведении </w:t>
      </w:r>
      <w:r w:rsidR="00DD77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закупа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следующих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товаров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: 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________________ (</w:t>
      </w:r>
      <w:r w:rsidRPr="002C24F2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 xml:space="preserve">наименование </w:t>
      </w:r>
      <w:r w:rsidRPr="001D44DE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закупаемых международных непатентованных наименований закупаемых лекарственных средств и (или) медицинских изделий, торговых наименований – в случае индивидуальной непереносимости пациента</w:t>
      </w:r>
      <w:r w:rsidRPr="006A24C3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.</w:t>
      </w:r>
    </w:p>
    <w:p w:rsidR="00A73029" w:rsidRDefault="001A5400" w:rsidP="001A54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ab/>
      </w:r>
    </w:p>
    <w:p w:rsidR="001A5400" w:rsidRDefault="001A5400" w:rsidP="001A54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5461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Сумма, выделенная для закупа:</w:t>
      </w:r>
    </w:p>
    <w:p w:rsidR="00A73029" w:rsidRPr="00546170" w:rsidRDefault="00A73029" w:rsidP="001A54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612"/>
        <w:gridCol w:w="1914"/>
        <w:gridCol w:w="2925"/>
        <w:gridCol w:w="979"/>
        <w:gridCol w:w="791"/>
        <w:gridCol w:w="1324"/>
        <w:gridCol w:w="1026"/>
      </w:tblGrid>
      <w:tr w:rsidR="00A73029" w:rsidRPr="00546170" w:rsidTr="001A5400">
        <w:tc>
          <w:tcPr>
            <w:tcW w:w="0" w:type="auto"/>
          </w:tcPr>
          <w:p w:rsidR="001A5400" w:rsidRPr="001A5400" w:rsidRDefault="001A5400" w:rsidP="001A54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1A540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0" w:type="auto"/>
          </w:tcPr>
          <w:p w:rsidR="001A5400" w:rsidRPr="001A5400" w:rsidRDefault="001A5400" w:rsidP="001A54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1A540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Наименование лота</w:t>
            </w:r>
          </w:p>
        </w:tc>
        <w:tc>
          <w:tcPr>
            <w:tcW w:w="0" w:type="auto"/>
          </w:tcPr>
          <w:p w:rsidR="001A5400" w:rsidRPr="001A5400" w:rsidRDefault="001A5400" w:rsidP="001A54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1A540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Техническая спецификация</w:t>
            </w:r>
          </w:p>
        </w:tc>
        <w:tc>
          <w:tcPr>
            <w:tcW w:w="0" w:type="auto"/>
          </w:tcPr>
          <w:p w:rsidR="001A5400" w:rsidRPr="001A5400" w:rsidRDefault="001A5400" w:rsidP="001A54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1A540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0" w:type="auto"/>
          </w:tcPr>
          <w:p w:rsidR="001A5400" w:rsidRPr="001A5400" w:rsidRDefault="001A5400" w:rsidP="001A54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1A540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0" w:type="auto"/>
          </w:tcPr>
          <w:p w:rsidR="001A5400" w:rsidRPr="001A5400" w:rsidRDefault="001A5400" w:rsidP="001A5400">
            <w:pPr>
              <w:ind w:right="37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1A540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Место поставки</w:t>
            </w:r>
          </w:p>
        </w:tc>
        <w:tc>
          <w:tcPr>
            <w:tcW w:w="0" w:type="auto"/>
          </w:tcPr>
          <w:p w:rsidR="001A5400" w:rsidRPr="001A5400" w:rsidRDefault="001A5400" w:rsidP="001A54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1A540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Срок и условия поставки</w:t>
            </w:r>
          </w:p>
        </w:tc>
      </w:tr>
      <w:tr w:rsidR="006D768B" w:rsidRPr="00546170" w:rsidTr="001A5400">
        <w:tc>
          <w:tcPr>
            <w:tcW w:w="0" w:type="auto"/>
          </w:tcPr>
          <w:p w:rsidR="006D768B" w:rsidRPr="001A5400" w:rsidRDefault="006D768B" w:rsidP="0080020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1A5400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</w:tcPr>
          <w:p w:rsidR="006D768B" w:rsidRPr="00F13AAE" w:rsidRDefault="006D768B" w:rsidP="00D233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13AAE">
              <w:rPr>
                <w:rFonts w:ascii="Times New Roman" w:hAnsi="Times New Roman" w:cs="Times New Roman"/>
              </w:rPr>
              <w:t>Кровать медицинская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3AAE">
              <w:rPr>
                <w:rFonts w:ascii="Times New Roman" w:hAnsi="Times New Roman" w:cs="Times New Roman"/>
              </w:rPr>
              <w:t xml:space="preserve"> многофункциональная для родовспоможе</w:t>
            </w:r>
            <w:r>
              <w:rPr>
                <w:rFonts w:ascii="Times New Roman" w:hAnsi="Times New Roman" w:cs="Times New Roman"/>
              </w:rPr>
              <w:t>ния с электрической регуляцией</w:t>
            </w:r>
          </w:p>
          <w:p w:rsidR="006D768B" w:rsidRPr="00F13AAE" w:rsidRDefault="006D768B" w:rsidP="00D233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6D768B" w:rsidRPr="00F13AAE" w:rsidRDefault="006D768B" w:rsidP="006D768B">
            <w:pPr>
              <w:jc w:val="both"/>
              <w:rPr>
                <w:rFonts w:ascii="Times New Roman" w:hAnsi="Times New Roman" w:cs="Times New Roman"/>
              </w:rPr>
            </w:pPr>
            <w:r w:rsidRPr="00F13AAE">
              <w:rPr>
                <w:rFonts w:ascii="Times New Roman" w:hAnsi="Times New Roman" w:cs="Times New Roman"/>
              </w:rPr>
              <w:t>Кровать предназначена для использования в качестве родовой кровати с последующим восстановлением и послеродовым уходом. Возможность проведения родов в положении «лежа» и «сидя»</w:t>
            </w:r>
            <w:r>
              <w:rPr>
                <w:rFonts w:ascii="Times New Roman" w:hAnsi="Times New Roman" w:cs="Times New Roman"/>
              </w:rPr>
              <w:t>. Количество секци</w:t>
            </w:r>
            <w:r w:rsidRPr="00F13AAE">
              <w:rPr>
                <w:rFonts w:ascii="Times New Roman" w:hAnsi="Times New Roman" w:cs="Times New Roman"/>
              </w:rPr>
              <w:t xml:space="preserve">й кровати, </w:t>
            </w:r>
            <w:r>
              <w:rPr>
                <w:rFonts w:ascii="Times New Roman" w:hAnsi="Times New Roman" w:cs="Times New Roman"/>
              </w:rPr>
              <w:t xml:space="preserve">не менее </w:t>
            </w:r>
            <w:r w:rsidRPr="00F13AAE">
              <w:rPr>
                <w:rFonts w:ascii="Times New Roman" w:hAnsi="Times New Roman" w:cs="Times New Roman"/>
              </w:rPr>
              <w:t xml:space="preserve">3 шт. Ножная секция с </w:t>
            </w:r>
            <w:proofErr w:type="spellStart"/>
            <w:r w:rsidRPr="00F13AAE">
              <w:rPr>
                <w:rFonts w:ascii="Times New Roman" w:hAnsi="Times New Roman" w:cs="Times New Roman"/>
              </w:rPr>
              <w:t>задвижением</w:t>
            </w:r>
            <w:proofErr w:type="spellEnd"/>
            <w:r w:rsidRPr="00F13AAE">
              <w:rPr>
                <w:rFonts w:ascii="Times New Roman" w:hAnsi="Times New Roman" w:cs="Times New Roman"/>
              </w:rPr>
              <w:t xml:space="preserve"> под </w:t>
            </w:r>
            <w:proofErr w:type="gramStart"/>
            <w:r w:rsidRPr="00F13AAE">
              <w:rPr>
                <w:rFonts w:ascii="Times New Roman" w:hAnsi="Times New Roman" w:cs="Times New Roman"/>
              </w:rPr>
              <w:t>тазовую</w:t>
            </w:r>
            <w:proofErr w:type="gramEnd"/>
            <w:r w:rsidRPr="00F13AAE">
              <w:rPr>
                <w:rFonts w:ascii="Times New Roman" w:hAnsi="Times New Roman" w:cs="Times New Roman"/>
              </w:rPr>
              <w:t xml:space="preserve"> для трансформации кровати в кресло. Панели секций ложа выполнены из </w:t>
            </w:r>
            <w:proofErr w:type="spellStart"/>
            <w:r w:rsidRPr="00F13AAE">
              <w:rPr>
                <w:rFonts w:ascii="Times New Roman" w:hAnsi="Times New Roman" w:cs="Times New Roman"/>
              </w:rPr>
              <w:t>ударопрочного</w:t>
            </w:r>
            <w:proofErr w:type="spellEnd"/>
            <w:r w:rsidRPr="00F13A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AE">
              <w:rPr>
                <w:rFonts w:ascii="Times New Roman" w:hAnsi="Times New Roman" w:cs="Times New Roman"/>
              </w:rPr>
              <w:t>А</w:t>
            </w:r>
            <w:proofErr w:type="gramStart"/>
            <w:r w:rsidRPr="00F13AAE">
              <w:rPr>
                <w:rFonts w:ascii="Times New Roman" w:hAnsi="Times New Roman" w:cs="Times New Roman"/>
              </w:rPr>
              <w:t>BS</w:t>
            </w:r>
            <w:proofErr w:type="gramEnd"/>
            <w:r w:rsidRPr="00F13AAE">
              <w:rPr>
                <w:rFonts w:ascii="Times New Roman" w:hAnsi="Times New Roman" w:cs="Times New Roman"/>
              </w:rPr>
              <w:t>-пластика</w:t>
            </w:r>
            <w:proofErr w:type="spellEnd"/>
            <w:r w:rsidRPr="00F13AAE">
              <w:rPr>
                <w:rFonts w:ascii="Times New Roman" w:hAnsi="Times New Roman" w:cs="Times New Roman"/>
              </w:rPr>
              <w:t xml:space="preserve">. Панель спинной секции имеет держатели матраца. Тазовая секция снабжена гинекологическим вырезом, </w:t>
            </w:r>
            <w:proofErr w:type="spellStart"/>
            <w:r w:rsidRPr="00F13AAE">
              <w:rPr>
                <w:rFonts w:ascii="Times New Roman" w:hAnsi="Times New Roman" w:cs="Times New Roman"/>
              </w:rPr>
              <w:t>дляоблегчения</w:t>
            </w:r>
            <w:proofErr w:type="spellEnd"/>
            <w:r w:rsidRPr="00F13AAE">
              <w:rPr>
                <w:rFonts w:ascii="Times New Roman" w:hAnsi="Times New Roman" w:cs="Times New Roman"/>
              </w:rPr>
              <w:t xml:space="preserve"> доступа персонала к роженице. Каркас колесного основания изготовлен из стального трубчатого профиля прямоугольного сечения размерами</w:t>
            </w:r>
            <w:r>
              <w:rPr>
                <w:rFonts w:ascii="Times New Roman" w:hAnsi="Times New Roman" w:cs="Times New Roman"/>
              </w:rPr>
              <w:t xml:space="preserve">, не менее </w:t>
            </w:r>
            <w:r w:rsidRPr="00F13AAE">
              <w:rPr>
                <w:rFonts w:ascii="Times New Roman" w:hAnsi="Times New Roman" w:cs="Times New Roman"/>
              </w:rPr>
              <w:t xml:space="preserve">80*30*2 мм. Сверху каркас закрыт кожухом </w:t>
            </w:r>
            <w:proofErr w:type="spellStart"/>
            <w:r w:rsidRPr="00F13AAE">
              <w:rPr>
                <w:rFonts w:ascii="Times New Roman" w:hAnsi="Times New Roman" w:cs="Times New Roman"/>
              </w:rPr>
              <w:t>атравматичной</w:t>
            </w:r>
            <w:proofErr w:type="spellEnd"/>
            <w:r w:rsidRPr="00F13AAE">
              <w:rPr>
                <w:rFonts w:ascii="Times New Roman" w:hAnsi="Times New Roman" w:cs="Times New Roman"/>
              </w:rPr>
              <w:t xml:space="preserve"> формы, со скругленными углами, выполненным </w:t>
            </w:r>
            <w:proofErr w:type="gramStart"/>
            <w:r w:rsidRPr="00F13AAE">
              <w:rPr>
                <w:rFonts w:ascii="Times New Roman" w:hAnsi="Times New Roman" w:cs="Times New Roman"/>
              </w:rPr>
              <w:t>из</w:t>
            </w:r>
            <w:proofErr w:type="gramEnd"/>
            <w:r>
              <w:rPr>
                <w:rFonts w:ascii="Times New Roman" w:hAnsi="Times New Roman" w:cs="Times New Roman"/>
              </w:rPr>
              <w:t>, не хуже</w:t>
            </w:r>
            <w:r w:rsidRPr="00F13A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AE">
              <w:rPr>
                <w:rFonts w:ascii="Times New Roman" w:hAnsi="Times New Roman" w:cs="Times New Roman"/>
              </w:rPr>
              <w:t>АВS-пластика</w:t>
            </w:r>
            <w:proofErr w:type="spellEnd"/>
            <w:r w:rsidRPr="00F13AAE">
              <w:rPr>
                <w:rFonts w:ascii="Times New Roman" w:hAnsi="Times New Roman" w:cs="Times New Roman"/>
              </w:rPr>
              <w:t xml:space="preserve">. Кожух закрывает также электромоторы и блок управления положениями кровати. Каркас ложа </w:t>
            </w:r>
            <w:r w:rsidRPr="00F13AAE">
              <w:rPr>
                <w:rFonts w:ascii="Times New Roman" w:hAnsi="Times New Roman" w:cs="Times New Roman"/>
              </w:rPr>
              <w:lastRenderedPageBreak/>
              <w:t>кровати выполнен из металлических профилей квадратного сечения размером</w:t>
            </w:r>
            <w:r>
              <w:rPr>
                <w:rFonts w:ascii="Times New Roman" w:hAnsi="Times New Roman" w:cs="Times New Roman"/>
              </w:rPr>
              <w:t>, не менее</w:t>
            </w:r>
            <w:r w:rsidRPr="00F13AAE">
              <w:rPr>
                <w:rFonts w:ascii="Times New Roman" w:hAnsi="Times New Roman" w:cs="Times New Roman"/>
              </w:rPr>
              <w:t xml:space="preserve"> 40*40*2 мм и 60*30*2 мм.  Каркас ложа оснащен рельсовым механизмом трансформации, предназначенным для перемещения ножной секции. Рельсы выполнены из нержавеющей стали</w:t>
            </w:r>
            <w:r>
              <w:rPr>
                <w:rFonts w:ascii="Times New Roman" w:hAnsi="Times New Roman" w:cs="Times New Roman"/>
              </w:rPr>
              <w:t>, не хуже</w:t>
            </w:r>
            <w:r w:rsidRPr="00F13AAE">
              <w:rPr>
                <w:rFonts w:ascii="Times New Roman" w:hAnsi="Times New Roman" w:cs="Times New Roman"/>
              </w:rPr>
              <w:t xml:space="preserve"> марки AISI 304. Каркас кровати оснащен двумя втулками, предназначенными для установки дополнительных принадлежностей, расположенными по углам каркаса, в головной части ложа. Диаметр втулки для принадлежностей, 35мм. Каркас ложа оснащен </w:t>
            </w:r>
            <w:r>
              <w:rPr>
                <w:rFonts w:ascii="Times New Roman" w:hAnsi="Times New Roman" w:cs="Times New Roman"/>
              </w:rPr>
              <w:t xml:space="preserve">не менее </w:t>
            </w:r>
            <w:r w:rsidRPr="00F13AAE">
              <w:rPr>
                <w:rFonts w:ascii="Times New Roman" w:hAnsi="Times New Roman" w:cs="Times New Roman"/>
              </w:rPr>
              <w:t xml:space="preserve">4 втулками по углам кровати для установки спинок. Механизм подъема ложа кровати: рычажный, типа трапециевидного пантографа. Электрический привод регулировки высоты ложа. Электрический привод регулировки угла наклона спинной секции. Электрический привод регулировки угла наклона тазовой секции. Электрический привод регулировки положений </w:t>
            </w:r>
            <w:proofErr w:type="spellStart"/>
            <w:r w:rsidRPr="00F13AAE">
              <w:rPr>
                <w:rFonts w:ascii="Times New Roman" w:hAnsi="Times New Roman" w:cs="Times New Roman"/>
              </w:rPr>
              <w:t>Тренделенбург</w:t>
            </w:r>
            <w:proofErr w:type="spellEnd"/>
            <w:r w:rsidRPr="00F13AAE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F13AAE">
              <w:rPr>
                <w:rFonts w:ascii="Times New Roman" w:hAnsi="Times New Roman" w:cs="Times New Roman"/>
              </w:rPr>
              <w:t>АнтиТренделенбург</w:t>
            </w:r>
            <w:proofErr w:type="spellEnd"/>
            <w:r w:rsidRPr="00F13AAE">
              <w:rPr>
                <w:rFonts w:ascii="Times New Roman" w:hAnsi="Times New Roman" w:cs="Times New Roman"/>
              </w:rPr>
              <w:t xml:space="preserve">. Независимый от электропитания моментальный перевод спинной секции ложа в положение СЛР. Встроенный индикатор наклона спинной секции. Пара опускающихся боковых ограждений из полиэтилена средней плотности. Опускание боковых ограждений посредством газовой пружины с механической блокировкой при помощи кнопки, активируемой только с внешней стороны с </w:t>
            </w:r>
            <w:r w:rsidRPr="00F13AAE">
              <w:rPr>
                <w:rFonts w:ascii="Times New Roman" w:hAnsi="Times New Roman" w:cs="Times New Roman"/>
              </w:rPr>
              <w:lastRenderedPageBreak/>
              <w:t>одновременным перемещением в направлении ложа, чтобы сократить габаритные размеры кровати. Быстросъемные головная и ножная спинки из высокопрочного пластика с эргономичными захватами для рук в трех местах. Каркас спинок выполнен из трубы нержавеющей стали диаметром</w:t>
            </w:r>
            <w:r>
              <w:rPr>
                <w:rFonts w:ascii="Times New Roman" w:hAnsi="Times New Roman" w:cs="Times New Roman"/>
              </w:rPr>
              <w:t>, не менее</w:t>
            </w:r>
            <w:r w:rsidRPr="00F13AAE">
              <w:rPr>
                <w:rFonts w:ascii="Times New Roman" w:hAnsi="Times New Roman" w:cs="Times New Roman"/>
              </w:rPr>
              <w:t xml:space="preserve"> 30*1,5 мм. Кровать имеет</w:t>
            </w:r>
            <w:r>
              <w:rPr>
                <w:rFonts w:ascii="Times New Roman" w:hAnsi="Times New Roman" w:cs="Times New Roman"/>
              </w:rPr>
              <w:t>, не менее</w:t>
            </w:r>
            <w:r w:rsidRPr="00F13AAE">
              <w:rPr>
                <w:rFonts w:ascii="Times New Roman" w:hAnsi="Times New Roman" w:cs="Times New Roman"/>
              </w:rPr>
              <w:t xml:space="preserve"> 4двойных колеса с системой центрального тормоза. Орган управления центральным тормозом - металлическая штанга, расположенная в ножном конце кровати. Вращаемые бамперы из </w:t>
            </w:r>
            <w:proofErr w:type="spellStart"/>
            <w:r w:rsidRPr="00F13AAE">
              <w:rPr>
                <w:rFonts w:ascii="Times New Roman" w:hAnsi="Times New Roman" w:cs="Times New Roman"/>
              </w:rPr>
              <w:t>ударогасящего</w:t>
            </w:r>
            <w:proofErr w:type="spellEnd"/>
            <w:r w:rsidRPr="00F13AAE">
              <w:rPr>
                <w:rFonts w:ascii="Times New Roman" w:hAnsi="Times New Roman" w:cs="Times New Roman"/>
              </w:rPr>
              <w:t>, не оставляющего следов материала на 4-х углах рамы ложа. На тазовой секции кровати установлены два держателя (рельсы), выполненные из нержавеющей стали</w:t>
            </w:r>
            <w:r>
              <w:rPr>
                <w:rFonts w:ascii="Times New Roman" w:hAnsi="Times New Roman" w:cs="Times New Roman"/>
              </w:rPr>
              <w:t>, не хуже</w:t>
            </w:r>
            <w:r w:rsidRPr="00F13AAE">
              <w:rPr>
                <w:rFonts w:ascii="Times New Roman" w:hAnsi="Times New Roman" w:cs="Times New Roman"/>
              </w:rPr>
              <w:t xml:space="preserve"> марки AISI304, толщиной</w:t>
            </w:r>
            <w:r>
              <w:rPr>
                <w:rFonts w:ascii="Times New Roman" w:hAnsi="Times New Roman" w:cs="Times New Roman"/>
              </w:rPr>
              <w:t>, не менее</w:t>
            </w:r>
            <w:r w:rsidRPr="00F13AAE">
              <w:rPr>
                <w:rFonts w:ascii="Times New Roman" w:hAnsi="Times New Roman" w:cs="Times New Roman"/>
              </w:rPr>
              <w:t xml:space="preserve"> 10 мм. </w:t>
            </w:r>
          </w:p>
          <w:p w:rsidR="006D768B" w:rsidRPr="00F13AAE" w:rsidRDefault="006D768B" w:rsidP="006D768B">
            <w:pPr>
              <w:jc w:val="both"/>
              <w:rPr>
                <w:rFonts w:ascii="Times New Roman" w:hAnsi="Times New Roman" w:cs="Times New Roman"/>
              </w:rPr>
            </w:pPr>
            <w:r w:rsidRPr="00F13AAE">
              <w:rPr>
                <w:rFonts w:ascii="Times New Roman" w:hAnsi="Times New Roman" w:cs="Times New Roman"/>
              </w:rPr>
              <w:t xml:space="preserve">Пульт управления электрическими приводами из </w:t>
            </w:r>
            <w:proofErr w:type="spellStart"/>
            <w:r w:rsidRPr="00F13AAE">
              <w:rPr>
                <w:rFonts w:ascii="Times New Roman" w:hAnsi="Times New Roman" w:cs="Times New Roman"/>
              </w:rPr>
              <w:t>ударопрочного</w:t>
            </w:r>
            <w:proofErr w:type="spellEnd"/>
            <w:r w:rsidRPr="00F13AAE">
              <w:rPr>
                <w:rFonts w:ascii="Times New Roman" w:hAnsi="Times New Roman" w:cs="Times New Roman"/>
              </w:rPr>
              <w:t xml:space="preserve"> пластика светлого цвета на проводе, с креплением на боковое ограждение или головную спинку кровати. Клавишная панель пульта выполнена по мембранной технологии, обеспечивающей высокую герметичность пульта управления. </w:t>
            </w:r>
          </w:p>
          <w:p w:rsidR="006D768B" w:rsidRPr="00F13AAE" w:rsidRDefault="006D768B" w:rsidP="006D768B">
            <w:pPr>
              <w:jc w:val="both"/>
              <w:rPr>
                <w:rFonts w:ascii="Times New Roman" w:hAnsi="Times New Roman" w:cs="Times New Roman"/>
              </w:rPr>
            </w:pPr>
            <w:r w:rsidRPr="00F13AAE">
              <w:rPr>
                <w:rFonts w:ascii="Times New Roman" w:hAnsi="Times New Roman" w:cs="Times New Roman"/>
              </w:rPr>
              <w:t>Клемма выравнивания потенциалов для заземления электрооборудования, используемого на кровати, с задней стороны спинки.</w:t>
            </w:r>
          </w:p>
          <w:p w:rsidR="006D768B" w:rsidRPr="00F13AAE" w:rsidRDefault="006D768B" w:rsidP="006D768B">
            <w:pPr>
              <w:jc w:val="both"/>
              <w:rPr>
                <w:rFonts w:ascii="Times New Roman" w:hAnsi="Times New Roman" w:cs="Times New Roman"/>
              </w:rPr>
            </w:pPr>
            <w:r w:rsidRPr="00F13AAE">
              <w:rPr>
                <w:rFonts w:ascii="Times New Roman" w:hAnsi="Times New Roman" w:cs="Times New Roman"/>
              </w:rPr>
              <w:t xml:space="preserve">Для крепления дополнительных аксессуаров: ручек для упора роженицы, подколенников, опорной штанги и др. Пара выдвижных ручек анатомически удобной изогнутой формы для упора </w:t>
            </w:r>
            <w:r w:rsidRPr="00F13AAE">
              <w:rPr>
                <w:rFonts w:ascii="Times New Roman" w:hAnsi="Times New Roman" w:cs="Times New Roman"/>
              </w:rPr>
              <w:lastRenderedPageBreak/>
              <w:t xml:space="preserve">роженицы из </w:t>
            </w:r>
            <w:proofErr w:type="spellStart"/>
            <w:r w:rsidRPr="00F13AAE">
              <w:rPr>
                <w:rFonts w:ascii="Times New Roman" w:hAnsi="Times New Roman" w:cs="Times New Roman"/>
              </w:rPr>
              <w:t>пенополиуретана</w:t>
            </w:r>
            <w:proofErr w:type="spellEnd"/>
            <w:r w:rsidRPr="00F13AAE">
              <w:rPr>
                <w:rFonts w:ascii="Times New Roman" w:hAnsi="Times New Roman" w:cs="Times New Roman"/>
              </w:rPr>
              <w:t xml:space="preserve"> со стальным стержнем, фиксирующихся на рельсы для дополнительных аксессуаров с помощью винтового замка.</w:t>
            </w:r>
          </w:p>
          <w:p w:rsidR="006D768B" w:rsidRDefault="006D768B" w:rsidP="006D768B">
            <w:pPr>
              <w:rPr>
                <w:rFonts w:ascii="Times New Roman" w:hAnsi="Times New Roman" w:cs="Times New Roman"/>
              </w:rPr>
            </w:pPr>
            <w:r w:rsidRPr="00F13AAE">
              <w:rPr>
                <w:rFonts w:ascii="Times New Roman" w:hAnsi="Times New Roman" w:cs="Times New Roman"/>
              </w:rPr>
              <w:t xml:space="preserve">Электропитание </w:t>
            </w:r>
            <w:r>
              <w:rPr>
                <w:rFonts w:ascii="Times New Roman" w:hAnsi="Times New Roman" w:cs="Times New Roman"/>
              </w:rPr>
              <w:t>230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>, 50 - 60 Гц. Аккумуляторн</w:t>
            </w:r>
            <w:r w:rsidRPr="00F13AAE">
              <w:rPr>
                <w:rFonts w:ascii="Times New Roman" w:hAnsi="Times New Roman" w:cs="Times New Roman"/>
              </w:rPr>
              <w:t xml:space="preserve">ая батарея 24 V непрерывного действия. Класс изоляции I- </w:t>
            </w:r>
            <w:proofErr w:type="spellStart"/>
            <w:r w:rsidRPr="00F13AAE">
              <w:rPr>
                <w:rFonts w:ascii="Times New Roman" w:hAnsi="Times New Roman" w:cs="Times New Roman"/>
              </w:rPr>
              <w:t>тип</w:t>
            </w:r>
            <w:proofErr w:type="gramStart"/>
            <w:r w:rsidRPr="00F13AAE">
              <w:rPr>
                <w:rFonts w:ascii="Times New Roman" w:hAnsi="Times New Roman" w:cs="Times New Roman"/>
              </w:rPr>
              <w:t>B</w:t>
            </w:r>
            <w:proofErr w:type="spellEnd"/>
            <w:proofErr w:type="gramEnd"/>
            <w:r w:rsidRPr="00F13AAE">
              <w:rPr>
                <w:rFonts w:ascii="Times New Roman" w:hAnsi="Times New Roman" w:cs="Times New Roman"/>
              </w:rPr>
              <w:t xml:space="preserve">. Класс </w:t>
            </w:r>
            <w:proofErr w:type="spellStart"/>
            <w:r w:rsidRPr="00F13AAE">
              <w:rPr>
                <w:rFonts w:ascii="Times New Roman" w:hAnsi="Times New Roman" w:cs="Times New Roman"/>
              </w:rPr>
              <w:t>водозащиты</w:t>
            </w:r>
            <w:proofErr w:type="spellEnd"/>
            <w:r w:rsidRPr="00F13AAE">
              <w:rPr>
                <w:rFonts w:ascii="Times New Roman" w:hAnsi="Times New Roman" w:cs="Times New Roman"/>
              </w:rPr>
              <w:t xml:space="preserve"> для электрооборудования, установленного на изделии IP 66. </w:t>
            </w:r>
          </w:p>
          <w:p w:rsidR="006D768B" w:rsidRDefault="006D768B" w:rsidP="006D768B">
            <w:pPr>
              <w:rPr>
                <w:rFonts w:ascii="Times New Roman" w:hAnsi="Times New Roman" w:cs="Times New Roman"/>
              </w:rPr>
            </w:pPr>
            <w:r w:rsidRPr="00F13AAE">
              <w:rPr>
                <w:rFonts w:ascii="Times New Roman" w:hAnsi="Times New Roman" w:cs="Times New Roman"/>
              </w:rPr>
              <w:t>Наклон спинной секции в диапазоне,</w:t>
            </w:r>
            <w:r>
              <w:rPr>
                <w:rFonts w:ascii="Times New Roman" w:hAnsi="Times New Roman" w:cs="Times New Roman"/>
              </w:rPr>
              <w:t xml:space="preserve"> не менее</w:t>
            </w:r>
            <w:r w:rsidRPr="00F13AAE">
              <w:rPr>
                <w:rFonts w:ascii="Times New Roman" w:hAnsi="Times New Roman" w:cs="Times New Roman"/>
              </w:rPr>
              <w:t xml:space="preserve"> 0°/62°. </w:t>
            </w:r>
          </w:p>
          <w:p w:rsidR="006D768B" w:rsidRDefault="006D768B" w:rsidP="006D768B">
            <w:pPr>
              <w:rPr>
                <w:rFonts w:ascii="Times New Roman" w:hAnsi="Times New Roman" w:cs="Times New Roman"/>
              </w:rPr>
            </w:pPr>
            <w:proofErr w:type="spellStart"/>
            <w:r w:rsidRPr="00F13AAE">
              <w:rPr>
                <w:rFonts w:ascii="Times New Roman" w:hAnsi="Times New Roman" w:cs="Times New Roman"/>
              </w:rPr>
              <w:t>Тренделенбург</w:t>
            </w:r>
            <w:proofErr w:type="spellEnd"/>
            <w:r w:rsidRPr="00F13AAE">
              <w:rPr>
                <w:rFonts w:ascii="Times New Roman" w:hAnsi="Times New Roman" w:cs="Times New Roman"/>
              </w:rPr>
              <w:t>/</w:t>
            </w:r>
            <w:proofErr w:type="spellStart"/>
            <w:r w:rsidRPr="00F13AAE">
              <w:rPr>
                <w:rFonts w:ascii="Times New Roman" w:hAnsi="Times New Roman" w:cs="Times New Roman"/>
              </w:rPr>
              <w:t>Антитренделенбург</w:t>
            </w:r>
            <w:proofErr w:type="spellEnd"/>
            <w:r w:rsidRPr="00F13AA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не менее </w:t>
            </w:r>
            <w:r w:rsidRPr="00F13AAE">
              <w:rPr>
                <w:rFonts w:ascii="Times New Roman" w:hAnsi="Times New Roman" w:cs="Times New Roman"/>
              </w:rPr>
              <w:t xml:space="preserve">16° / 16°. </w:t>
            </w:r>
          </w:p>
          <w:p w:rsidR="006D768B" w:rsidRDefault="006D768B" w:rsidP="006D768B">
            <w:pPr>
              <w:rPr>
                <w:rFonts w:ascii="Times New Roman" w:hAnsi="Times New Roman" w:cs="Times New Roman"/>
              </w:rPr>
            </w:pPr>
            <w:r w:rsidRPr="00F13AAE">
              <w:rPr>
                <w:rFonts w:ascii="Times New Roman" w:hAnsi="Times New Roman" w:cs="Times New Roman"/>
              </w:rPr>
              <w:t xml:space="preserve">Наклон бедренной секции, </w:t>
            </w:r>
            <w:r>
              <w:rPr>
                <w:rFonts w:ascii="Times New Roman" w:hAnsi="Times New Roman" w:cs="Times New Roman"/>
              </w:rPr>
              <w:t xml:space="preserve">не менее </w:t>
            </w:r>
            <w:r w:rsidRPr="00F13AAE">
              <w:rPr>
                <w:rFonts w:ascii="Times New Roman" w:hAnsi="Times New Roman" w:cs="Times New Roman"/>
              </w:rPr>
              <w:t xml:space="preserve">16 °. </w:t>
            </w:r>
          </w:p>
          <w:p w:rsidR="006D768B" w:rsidRDefault="006D768B" w:rsidP="006D768B">
            <w:pPr>
              <w:rPr>
                <w:rFonts w:ascii="Times New Roman" w:hAnsi="Times New Roman" w:cs="Times New Roman"/>
              </w:rPr>
            </w:pPr>
            <w:r w:rsidRPr="00F13AAE">
              <w:rPr>
                <w:rFonts w:ascii="Times New Roman" w:hAnsi="Times New Roman" w:cs="Times New Roman"/>
              </w:rPr>
              <w:t xml:space="preserve">Изменение высоты ложа в диапазоне, </w:t>
            </w:r>
            <w:r>
              <w:rPr>
                <w:rFonts w:ascii="Times New Roman" w:hAnsi="Times New Roman" w:cs="Times New Roman"/>
              </w:rPr>
              <w:t xml:space="preserve">не менее </w:t>
            </w:r>
            <w:r w:rsidRPr="00F13AAE">
              <w:rPr>
                <w:rFonts w:ascii="Times New Roman" w:hAnsi="Times New Roman" w:cs="Times New Roman"/>
              </w:rPr>
              <w:t>66-</w:t>
            </w:r>
            <w:r>
              <w:rPr>
                <w:rFonts w:ascii="Times New Roman" w:hAnsi="Times New Roman" w:cs="Times New Roman"/>
              </w:rPr>
              <w:t>105</w:t>
            </w:r>
            <w:r w:rsidRPr="00F13AAE">
              <w:rPr>
                <w:rFonts w:ascii="Times New Roman" w:hAnsi="Times New Roman" w:cs="Times New Roman"/>
              </w:rPr>
              <w:t xml:space="preserve"> см. </w:t>
            </w:r>
          </w:p>
          <w:p w:rsidR="006D768B" w:rsidRDefault="006D768B" w:rsidP="006D768B">
            <w:pPr>
              <w:rPr>
                <w:rFonts w:ascii="Times New Roman" w:hAnsi="Times New Roman" w:cs="Times New Roman"/>
              </w:rPr>
            </w:pPr>
            <w:r w:rsidRPr="00F13AAE">
              <w:rPr>
                <w:rFonts w:ascii="Times New Roman" w:hAnsi="Times New Roman" w:cs="Times New Roman"/>
              </w:rPr>
              <w:t xml:space="preserve">Вместимость лотка из нержавеющей стали для сбора жидкостей, </w:t>
            </w:r>
            <w:r>
              <w:rPr>
                <w:rFonts w:ascii="Times New Roman" w:hAnsi="Times New Roman" w:cs="Times New Roman"/>
              </w:rPr>
              <w:t xml:space="preserve">не менее </w:t>
            </w:r>
            <w:r w:rsidRPr="00F13AAE">
              <w:rPr>
                <w:rFonts w:ascii="Times New Roman" w:hAnsi="Times New Roman" w:cs="Times New Roman"/>
              </w:rPr>
              <w:t xml:space="preserve">10 л. </w:t>
            </w:r>
          </w:p>
          <w:p w:rsidR="006D768B" w:rsidRDefault="006D768B" w:rsidP="006D7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4797B">
              <w:rPr>
                <w:rFonts w:ascii="Times New Roman" w:hAnsi="Times New Roman" w:cs="Times New Roman"/>
              </w:rPr>
              <w:t>вухсекционный матрас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6D768B" w:rsidRDefault="006D768B" w:rsidP="006D768B">
            <w:pPr>
              <w:rPr>
                <w:rFonts w:ascii="Times New Roman" w:hAnsi="Times New Roman" w:cs="Times New Roman"/>
              </w:rPr>
            </w:pPr>
            <w:r w:rsidRPr="0054797B">
              <w:rPr>
                <w:rFonts w:ascii="Times New Roman" w:hAnsi="Times New Roman" w:cs="Times New Roman"/>
              </w:rPr>
              <w:t xml:space="preserve">Толщина матраса </w:t>
            </w:r>
            <w:r>
              <w:rPr>
                <w:rFonts w:ascii="Times New Roman" w:hAnsi="Times New Roman" w:cs="Times New Roman"/>
              </w:rPr>
              <w:t xml:space="preserve">спинной и </w:t>
            </w:r>
            <w:proofErr w:type="gramStart"/>
            <w:r>
              <w:rPr>
                <w:rFonts w:ascii="Times New Roman" w:hAnsi="Times New Roman" w:cs="Times New Roman"/>
              </w:rPr>
              <w:t>бедренной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секций, не менее: 8 см</w:t>
            </w:r>
          </w:p>
          <w:p w:rsidR="006D768B" w:rsidRDefault="006D768B" w:rsidP="006D768B">
            <w:pPr>
              <w:rPr>
                <w:rFonts w:ascii="Times New Roman" w:hAnsi="Times New Roman" w:cs="Times New Roman"/>
              </w:rPr>
            </w:pPr>
            <w:r w:rsidRPr="0054797B">
              <w:rPr>
                <w:rFonts w:ascii="Times New Roman" w:hAnsi="Times New Roman" w:cs="Times New Roman"/>
              </w:rPr>
              <w:t>Толщина матраса ножной секции</w:t>
            </w:r>
            <w:r>
              <w:rPr>
                <w:rFonts w:ascii="Times New Roman" w:hAnsi="Times New Roman" w:cs="Times New Roman"/>
              </w:rPr>
              <w:t>, не менее</w:t>
            </w:r>
            <w:r w:rsidRPr="0054797B">
              <w:rPr>
                <w:rFonts w:ascii="Times New Roman" w:hAnsi="Times New Roman" w:cs="Times New Roman"/>
              </w:rPr>
              <w:t>: 16 см</w:t>
            </w:r>
          </w:p>
          <w:p w:rsidR="006D768B" w:rsidRDefault="006D768B" w:rsidP="006D768B">
            <w:pPr>
              <w:rPr>
                <w:rFonts w:ascii="Times New Roman" w:hAnsi="Times New Roman" w:cs="Times New Roman"/>
              </w:rPr>
            </w:pPr>
            <w:r w:rsidRPr="00F13AAE">
              <w:rPr>
                <w:rFonts w:ascii="Times New Roman" w:hAnsi="Times New Roman" w:cs="Times New Roman"/>
              </w:rPr>
              <w:t xml:space="preserve">Размеры </w:t>
            </w:r>
            <w:proofErr w:type="spellStart"/>
            <w:r w:rsidRPr="00F13AAE">
              <w:rPr>
                <w:rFonts w:ascii="Times New Roman" w:hAnsi="Times New Roman" w:cs="Times New Roman"/>
              </w:rPr>
              <w:t>ложа</w:t>
            </w:r>
            <w:r>
              <w:rPr>
                <w:rFonts w:ascii="Times New Roman" w:hAnsi="Times New Roman" w:cs="Times New Roman"/>
              </w:rPr>
              <w:t>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менее</w:t>
            </w:r>
            <w:r w:rsidRPr="00F13AAE">
              <w:rPr>
                <w:rFonts w:ascii="Times New Roman" w:hAnsi="Times New Roman" w:cs="Times New Roman"/>
              </w:rPr>
              <w:t>, 192x88см.</w:t>
            </w:r>
          </w:p>
          <w:p w:rsidR="006D768B" w:rsidRDefault="006D768B" w:rsidP="006D768B">
            <w:pPr>
              <w:rPr>
                <w:rFonts w:ascii="Times New Roman" w:hAnsi="Times New Roman" w:cs="Times New Roman"/>
              </w:rPr>
            </w:pPr>
            <w:r w:rsidRPr="00F13AAE">
              <w:rPr>
                <w:rFonts w:ascii="Times New Roman" w:hAnsi="Times New Roman" w:cs="Times New Roman"/>
              </w:rPr>
              <w:t xml:space="preserve">Максимальный вес пациента, </w:t>
            </w:r>
            <w:r>
              <w:rPr>
                <w:rFonts w:ascii="Times New Roman" w:hAnsi="Times New Roman" w:cs="Times New Roman"/>
              </w:rPr>
              <w:t>не менее</w:t>
            </w:r>
            <w:r w:rsidRPr="00F13AAE">
              <w:rPr>
                <w:rFonts w:ascii="Times New Roman" w:hAnsi="Times New Roman" w:cs="Times New Roman"/>
              </w:rPr>
              <w:t xml:space="preserve"> 250кг.</w:t>
            </w:r>
          </w:p>
          <w:p w:rsidR="006D768B" w:rsidRDefault="006D768B" w:rsidP="006D768B">
            <w:pPr>
              <w:rPr>
                <w:rFonts w:ascii="Times New Roman" w:hAnsi="Times New Roman" w:cs="Times New Roman"/>
              </w:rPr>
            </w:pPr>
            <w:r w:rsidRPr="00F13AAE">
              <w:rPr>
                <w:rFonts w:ascii="Times New Roman" w:hAnsi="Times New Roman" w:cs="Times New Roman"/>
              </w:rPr>
              <w:t xml:space="preserve">Максимальная грузоподъемность, </w:t>
            </w:r>
            <w:r>
              <w:rPr>
                <w:rFonts w:ascii="Times New Roman" w:hAnsi="Times New Roman" w:cs="Times New Roman"/>
              </w:rPr>
              <w:t xml:space="preserve">не менее </w:t>
            </w:r>
            <w:r w:rsidRPr="00F13AAE">
              <w:rPr>
                <w:rFonts w:ascii="Times New Roman" w:hAnsi="Times New Roman" w:cs="Times New Roman"/>
              </w:rPr>
              <w:t>330кг.</w:t>
            </w:r>
          </w:p>
          <w:p w:rsidR="006D768B" w:rsidRDefault="006D768B" w:rsidP="006D768B">
            <w:pPr>
              <w:rPr>
                <w:rFonts w:ascii="Times New Roman" w:hAnsi="Times New Roman" w:cs="Times New Roman"/>
              </w:rPr>
            </w:pPr>
            <w:r w:rsidRPr="00436922">
              <w:rPr>
                <w:rFonts w:ascii="Times New Roman" w:hAnsi="Times New Roman" w:cs="Times New Roman"/>
              </w:rPr>
              <w:t>Габаритные размеры</w:t>
            </w:r>
            <w:r>
              <w:rPr>
                <w:rFonts w:ascii="Times New Roman" w:hAnsi="Times New Roman" w:cs="Times New Roman"/>
              </w:rPr>
              <w:t>, не более</w:t>
            </w:r>
            <w:r w:rsidRPr="00436922">
              <w:rPr>
                <w:rFonts w:ascii="Times New Roman" w:hAnsi="Times New Roman" w:cs="Times New Roman"/>
              </w:rPr>
              <w:t xml:space="preserve">: </w:t>
            </w:r>
            <w:r w:rsidRPr="00436922">
              <w:rPr>
                <w:rFonts w:ascii="Times New Roman" w:hAnsi="Times New Roman" w:cs="Times New Roman"/>
                <w:lang w:val="it-IT"/>
              </w:rPr>
              <w:t>229x114</w:t>
            </w:r>
          </w:p>
          <w:p w:rsidR="006D768B" w:rsidRDefault="006D768B" w:rsidP="006D768B">
            <w:pPr>
              <w:rPr>
                <w:rFonts w:ascii="Times New Roman" w:hAnsi="Times New Roman" w:cs="Times New Roman"/>
              </w:rPr>
            </w:pPr>
            <w:r w:rsidRPr="00F13AAE">
              <w:rPr>
                <w:rFonts w:ascii="Times New Roman" w:hAnsi="Times New Roman" w:cs="Times New Roman"/>
              </w:rPr>
              <w:t>Вес кровати,</w:t>
            </w:r>
            <w:r>
              <w:rPr>
                <w:rFonts w:ascii="Times New Roman" w:hAnsi="Times New Roman" w:cs="Times New Roman"/>
              </w:rPr>
              <w:t xml:space="preserve"> не более:</w:t>
            </w:r>
            <w:r w:rsidRPr="00F13AAE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 xml:space="preserve">12 </w:t>
            </w:r>
            <w:r w:rsidRPr="00F13AAE">
              <w:rPr>
                <w:rFonts w:ascii="Times New Roman" w:hAnsi="Times New Roman" w:cs="Times New Roman"/>
              </w:rPr>
              <w:t xml:space="preserve">кг. </w:t>
            </w:r>
          </w:p>
          <w:p w:rsidR="006D768B" w:rsidRDefault="006D768B" w:rsidP="006D768B">
            <w:pPr>
              <w:rPr>
                <w:rFonts w:ascii="Times New Roman" w:hAnsi="Times New Roman" w:cs="Times New Roman"/>
              </w:rPr>
            </w:pPr>
            <w:r w:rsidRPr="00F13AAE">
              <w:rPr>
                <w:rFonts w:ascii="Times New Roman" w:hAnsi="Times New Roman" w:cs="Times New Roman"/>
              </w:rPr>
              <w:t xml:space="preserve">Диаметр колес, </w:t>
            </w:r>
            <w:r>
              <w:rPr>
                <w:rFonts w:ascii="Times New Roman" w:hAnsi="Times New Roman" w:cs="Times New Roman"/>
              </w:rPr>
              <w:t xml:space="preserve">не менее </w:t>
            </w:r>
            <w:r w:rsidRPr="00F13AAE">
              <w:rPr>
                <w:rFonts w:ascii="Times New Roman" w:hAnsi="Times New Roman" w:cs="Times New Roman"/>
              </w:rPr>
              <w:t xml:space="preserve">150мм. </w:t>
            </w:r>
          </w:p>
          <w:p w:rsidR="006D768B" w:rsidRDefault="006D768B" w:rsidP="006D768B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13AAE">
              <w:rPr>
                <w:rFonts w:ascii="Times New Roman" w:hAnsi="Times New Roman" w:cs="Times New Roman"/>
              </w:rPr>
              <w:t xml:space="preserve">Размер полки из ABS для инструментов, </w:t>
            </w:r>
            <w:r>
              <w:rPr>
                <w:rFonts w:ascii="Times New Roman" w:hAnsi="Times New Roman" w:cs="Times New Roman"/>
              </w:rPr>
              <w:t xml:space="preserve">не менее </w:t>
            </w:r>
            <w:r w:rsidRPr="00F13AAE">
              <w:rPr>
                <w:rFonts w:ascii="Times New Roman" w:hAnsi="Times New Roman" w:cs="Times New Roman"/>
              </w:rPr>
              <w:t>69х24см.</w:t>
            </w:r>
          </w:p>
          <w:p w:rsidR="006D768B" w:rsidRPr="006D768B" w:rsidRDefault="006D768B" w:rsidP="006D768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u w:val="single"/>
                <w:lang w:eastAsia="ru-RU"/>
              </w:rPr>
            </w:pPr>
            <w:r w:rsidRPr="006D768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u w:val="single"/>
                <w:lang w:eastAsia="ru-RU"/>
              </w:rPr>
              <w:t xml:space="preserve">КОМПЛЕКТАЦИЯ: </w:t>
            </w:r>
          </w:p>
          <w:p w:rsidR="006D768B" w:rsidRPr="006D768B" w:rsidRDefault="006D768B" w:rsidP="006D768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6D768B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Пара боковых съемных ограждений</w:t>
            </w:r>
            <w:r w:rsidRPr="006D768B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ab/>
              <w:t>Пара опускающихся боковых ограждений из полиэтилена средней плотности</w:t>
            </w:r>
            <w:r w:rsidRPr="006D768B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ab/>
              <w:t>1 комплект</w:t>
            </w:r>
          </w:p>
          <w:p w:rsidR="006D768B" w:rsidRPr="006D768B" w:rsidRDefault="006D768B" w:rsidP="006D768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6D768B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Пара опорных подставок для пяток</w:t>
            </w:r>
            <w:r w:rsidRPr="006D768B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ab/>
            </w:r>
            <w:proofErr w:type="gramStart"/>
            <w:r w:rsidRPr="006D768B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Предназначены</w:t>
            </w:r>
            <w:proofErr w:type="gramEnd"/>
            <w:r w:rsidRPr="006D768B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для </w:t>
            </w:r>
            <w:r w:rsidRPr="006D768B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lastRenderedPageBreak/>
              <w:t>опора пяток</w:t>
            </w:r>
            <w:r w:rsidRPr="006D768B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ab/>
              <w:t>1 комплект</w:t>
            </w:r>
          </w:p>
          <w:p w:rsidR="006D768B" w:rsidRPr="006D768B" w:rsidRDefault="006D768B" w:rsidP="006D768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6D768B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Дополнительные комплектующие:</w:t>
            </w:r>
          </w:p>
          <w:p w:rsidR="006D768B" w:rsidRPr="006D768B" w:rsidRDefault="006D768B" w:rsidP="006D768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6D768B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Стойка для капельницы, 4 крючка</w:t>
            </w:r>
            <w:r w:rsidRPr="006D768B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ab/>
            </w:r>
            <w:proofErr w:type="spellStart"/>
            <w:r w:rsidRPr="006D768B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Инфузионная</w:t>
            </w:r>
            <w:proofErr w:type="spellEnd"/>
            <w:r w:rsidRPr="006D768B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стойка </w:t>
            </w:r>
            <w:proofErr w:type="spellStart"/>
            <w:r w:rsidRPr="006D768B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имеетне</w:t>
            </w:r>
            <w:proofErr w:type="spellEnd"/>
            <w:r w:rsidRPr="006D768B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менее 4 крючков из нержавеющей стали, с установкой во втулки в головном торце кровати</w:t>
            </w:r>
            <w:r w:rsidRPr="006D768B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ab/>
              <w:t>1 шт.</w:t>
            </w:r>
          </w:p>
          <w:p w:rsidR="006D768B" w:rsidRPr="006D768B" w:rsidRDefault="006D768B" w:rsidP="006D768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6D768B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Опорная перекладина с мягкой набивкой</w:t>
            </w:r>
            <w:r w:rsidRPr="006D768B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ab/>
            </w:r>
            <w:r w:rsidRPr="006D768B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ab/>
              <w:t>1 шт.</w:t>
            </w:r>
          </w:p>
          <w:p w:rsidR="006D768B" w:rsidRPr="006D768B" w:rsidRDefault="006D768B" w:rsidP="006D768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6D768B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Ножная педаль управления для регулировки высоты и спинной секции</w:t>
            </w:r>
            <w:r w:rsidRPr="006D768B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ab/>
            </w:r>
            <w:r w:rsidRPr="006D768B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ab/>
              <w:t>1 шт.</w:t>
            </w:r>
          </w:p>
          <w:p w:rsidR="006D768B" w:rsidRPr="001A5400" w:rsidRDefault="006D768B" w:rsidP="006D768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6D768B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Ножная двойная педаль управления для регулировки высоты </w:t>
            </w:r>
            <w:r w:rsidRPr="006D768B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ab/>
            </w:r>
            <w:r w:rsidRPr="006D768B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ab/>
              <w:t>1 шт.</w:t>
            </w:r>
          </w:p>
        </w:tc>
        <w:tc>
          <w:tcPr>
            <w:tcW w:w="0" w:type="auto"/>
          </w:tcPr>
          <w:p w:rsidR="006D768B" w:rsidRPr="001A5400" w:rsidRDefault="006D768B" w:rsidP="0080020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lastRenderedPageBreak/>
              <w:t>5 074 953,74</w:t>
            </w:r>
          </w:p>
        </w:tc>
        <w:tc>
          <w:tcPr>
            <w:tcW w:w="0" w:type="auto"/>
          </w:tcPr>
          <w:p w:rsidR="006D768B" w:rsidRPr="001A5400" w:rsidRDefault="006D768B" w:rsidP="0080020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</w:tcPr>
          <w:p w:rsidR="006D768B" w:rsidRPr="001A5400" w:rsidRDefault="006D768B" w:rsidP="001A540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u w:val="single"/>
                <w:lang w:eastAsia="ru-RU"/>
              </w:rPr>
            </w:pPr>
            <w:r w:rsidRPr="001A5400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u w:val="single"/>
                <w:lang w:eastAsia="ru-RU"/>
              </w:rPr>
              <w:t xml:space="preserve">Актюбинская область, </w:t>
            </w:r>
            <w:proofErr w:type="spellStart"/>
            <w:r w:rsidRPr="001A5400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u w:val="single"/>
                <w:lang w:eastAsia="ru-RU"/>
              </w:rPr>
              <w:t>Каргалинский</w:t>
            </w:r>
            <w:proofErr w:type="spellEnd"/>
            <w:r w:rsidRPr="001A5400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u w:val="single"/>
                <w:lang w:eastAsia="ru-RU"/>
              </w:rPr>
              <w:t xml:space="preserve"> район, </w:t>
            </w:r>
            <w:proofErr w:type="spellStart"/>
            <w:r w:rsidRPr="001A5400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u w:val="single"/>
                <w:lang w:eastAsia="ru-RU"/>
              </w:rPr>
              <w:t>с</w:t>
            </w:r>
            <w:proofErr w:type="gramStart"/>
            <w:r w:rsidRPr="001A5400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u w:val="single"/>
                <w:lang w:eastAsia="ru-RU"/>
              </w:rPr>
              <w:t>.Б</w:t>
            </w:r>
            <w:proofErr w:type="gramEnd"/>
            <w:r w:rsidRPr="001A5400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u w:val="single"/>
                <w:lang w:eastAsia="ru-RU"/>
              </w:rPr>
              <w:t>адамша</w:t>
            </w:r>
            <w:proofErr w:type="spellEnd"/>
            <w:r w:rsidRPr="001A5400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u w:val="single"/>
                <w:lang w:eastAsia="ru-RU"/>
              </w:rPr>
              <w:t>, ЦИБУЛЬЧИКА, 4</w:t>
            </w:r>
          </w:p>
          <w:p w:rsidR="006D768B" w:rsidRPr="001A5400" w:rsidRDefault="006D768B" w:rsidP="0080020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6D768B" w:rsidRPr="001A5400" w:rsidRDefault="006D768B" w:rsidP="0080020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90 </w:t>
            </w:r>
            <w:r w:rsidRPr="001A5400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дней с момента подписания договора</w:t>
            </w:r>
          </w:p>
        </w:tc>
      </w:tr>
      <w:tr w:rsidR="006D768B" w:rsidRPr="00546170" w:rsidTr="001A5400">
        <w:tc>
          <w:tcPr>
            <w:tcW w:w="0" w:type="auto"/>
          </w:tcPr>
          <w:p w:rsidR="006D768B" w:rsidRPr="001A5400" w:rsidRDefault="006D768B" w:rsidP="0080020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6D768B" w:rsidRPr="001A5400" w:rsidRDefault="006D768B" w:rsidP="00A7302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0" w:type="auto"/>
          </w:tcPr>
          <w:p w:rsidR="006D768B" w:rsidRPr="001A5400" w:rsidRDefault="006D768B" w:rsidP="00A73029">
            <w:pPr>
              <w:pStyle w:val="a7"/>
              <w:shd w:val="clear" w:color="auto" w:fill="auto"/>
              <w:rPr>
                <w:color w:val="000000"/>
                <w:lang w:eastAsia="ru-RU" w:bidi="ru-RU"/>
              </w:rPr>
            </w:pPr>
          </w:p>
        </w:tc>
        <w:tc>
          <w:tcPr>
            <w:tcW w:w="0" w:type="auto"/>
          </w:tcPr>
          <w:p w:rsidR="006D768B" w:rsidRPr="001A5400" w:rsidRDefault="006D768B" w:rsidP="0080020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6D768B" w:rsidRPr="001A5400" w:rsidRDefault="006D768B" w:rsidP="0080020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6D768B" w:rsidRPr="001A5400" w:rsidRDefault="006D768B" w:rsidP="0080020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6D768B" w:rsidRPr="001A5400" w:rsidRDefault="006D768B" w:rsidP="0080020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</w:p>
        </w:tc>
      </w:tr>
    </w:tbl>
    <w:p w:rsidR="001A5400" w:rsidRDefault="001A5400" w:rsidP="001A54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1A5400" w:rsidRPr="002C24F2" w:rsidRDefault="001A5400" w:rsidP="001A54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proofErr w:type="gramStart"/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тендеру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допускаются все потенциальные поставщики, отвечающие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требованиям, указанным </w:t>
      </w:r>
      <w:r w:rsidRPr="00854AB3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Правил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ами</w:t>
      </w:r>
      <w:r w:rsidRPr="00854AB3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утвержденных Постановлением правительства Республики Казахстан от 04 июня 2021 года № 375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  <w:proofErr w:type="gramEnd"/>
    </w:p>
    <w:p w:rsidR="00A73029" w:rsidRDefault="00A73029" w:rsidP="001A54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1A5400" w:rsidRDefault="001A5400" w:rsidP="001A54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аявки, запечатанные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конверты, представляются (направляются) потенциальными поставщиками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A73029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ГКП Каргалинская РБ на ПХВ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(указать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аименование организатора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закупок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/заказчика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по адресу: </w:t>
      </w:r>
      <w:r w:rsidR="00A73029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 xml:space="preserve">Актюбинская область, </w:t>
      </w:r>
      <w:proofErr w:type="spellStart"/>
      <w:r w:rsidR="00A73029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Каргалинский</w:t>
      </w:r>
      <w:proofErr w:type="spellEnd"/>
      <w:r w:rsidR="00A73029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 xml:space="preserve"> район, </w:t>
      </w:r>
      <w:proofErr w:type="spellStart"/>
      <w:r w:rsidR="00A73029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с</w:t>
      </w:r>
      <w:proofErr w:type="gramStart"/>
      <w:r w:rsidR="00A73029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.Б</w:t>
      </w:r>
      <w:proofErr w:type="gramEnd"/>
      <w:r w:rsidR="00A73029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адамша</w:t>
      </w:r>
      <w:proofErr w:type="spellEnd"/>
      <w:r w:rsidR="00A73029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, ЦИБУЛЬЧИКА, 4</w:t>
      </w:r>
      <w:r w:rsidR="00A73029" w:rsidRPr="00A730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A730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(указать полный адрес, N ком.)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1A5400" w:rsidRDefault="001A5400" w:rsidP="001A54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Окончательный срок представления заявок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6D768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21</w:t>
      </w:r>
      <w:r w:rsidR="00A73029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.07.2021 г / 10-00</w:t>
      </w:r>
      <w:r w:rsidR="00A730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(указать время и дату).</w:t>
      </w:r>
    </w:p>
    <w:p w:rsidR="001A5400" w:rsidRPr="002C24F2" w:rsidRDefault="001A5400" w:rsidP="001A54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Конверты с заявками будут вскрываться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6D768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21</w:t>
      </w:r>
      <w:r w:rsidR="00DD772C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.07.2021 г / 10-00</w:t>
      </w:r>
      <w:r w:rsidR="00DD77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по следующему адресу: </w:t>
      </w:r>
      <w:r w:rsidR="00DD772C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 xml:space="preserve">Актюбинская область, </w:t>
      </w:r>
      <w:proofErr w:type="spellStart"/>
      <w:r w:rsidR="00DD772C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Каргалинский</w:t>
      </w:r>
      <w:proofErr w:type="spellEnd"/>
      <w:r w:rsidR="00DD772C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 xml:space="preserve"> район, </w:t>
      </w:r>
      <w:proofErr w:type="spellStart"/>
      <w:r w:rsidR="00DD772C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с</w:t>
      </w:r>
      <w:proofErr w:type="gramStart"/>
      <w:r w:rsidR="00DD772C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.Б</w:t>
      </w:r>
      <w:proofErr w:type="gramEnd"/>
      <w:r w:rsidR="00DD772C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адамша</w:t>
      </w:r>
      <w:proofErr w:type="spellEnd"/>
      <w:r w:rsidR="00DD772C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, ЦИБУЛЬЧИКА, 4</w:t>
      </w:r>
      <w:r w:rsidR="00DD772C" w:rsidRPr="00A730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DD77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(указать время и дату) (указать полный адрес, N ком.)</w:t>
      </w:r>
    </w:p>
    <w:p w:rsidR="001A5400" w:rsidRDefault="001A5400" w:rsidP="001A54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Дополнительную информацию и справку можно получить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телефону: </w:t>
      </w:r>
      <w:r w:rsidR="00DD77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871342 23545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(указать код города и номер телефона)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1A5400" w:rsidRPr="002C24F2" w:rsidRDefault="001A5400" w:rsidP="001A54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Уполномоченный представитель организатора </w:t>
      </w:r>
      <w:r w:rsidR="00DD77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Задорожный Е.С. </w:t>
      </w:r>
      <w:proofErr w:type="spellStart"/>
      <w:r w:rsidR="00DD77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сп</w:t>
      </w:r>
      <w:proofErr w:type="spellEnd"/>
      <w:r w:rsidR="00DD77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по ГЗ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(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указывается Ф.И.О., должность и контактный телефон)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1A5400" w:rsidRDefault="001A5400" w:rsidP="001A5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400" w:rsidRDefault="001A5400" w:rsidP="001A5400">
      <w:pPr>
        <w:pStyle w:val="3"/>
        <w:rPr>
          <w:b w:val="0"/>
        </w:rPr>
      </w:pPr>
    </w:p>
    <w:p w:rsidR="001A5400" w:rsidRDefault="001A5400" w:rsidP="001A5400">
      <w:pPr>
        <w:pStyle w:val="3"/>
        <w:rPr>
          <w:b w:val="0"/>
        </w:rPr>
      </w:pPr>
    </w:p>
    <w:p w:rsidR="001A5400" w:rsidRDefault="001A5400" w:rsidP="001A5400">
      <w:pPr>
        <w:pStyle w:val="3"/>
        <w:rPr>
          <w:b w:val="0"/>
        </w:rPr>
      </w:pPr>
    </w:p>
    <w:p w:rsidR="00DD772C" w:rsidRDefault="00DD772C" w:rsidP="001A5400">
      <w:pPr>
        <w:pStyle w:val="3"/>
        <w:rPr>
          <w:b w:val="0"/>
        </w:rPr>
      </w:pPr>
    </w:p>
    <w:p w:rsidR="00DD772C" w:rsidRDefault="00DD772C" w:rsidP="001A5400">
      <w:pPr>
        <w:pStyle w:val="3"/>
        <w:rPr>
          <w:b w:val="0"/>
        </w:rPr>
      </w:pPr>
    </w:p>
    <w:p w:rsidR="00DD772C" w:rsidRDefault="00DD772C" w:rsidP="001A5400">
      <w:pPr>
        <w:pStyle w:val="3"/>
        <w:rPr>
          <w:b w:val="0"/>
        </w:rPr>
      </w:pPr>
    </w:p>
    <w:p w:rsidR="006D768B" w:rsidRDefault="006D768B" w:rsidP="001A5400">
      <w:pPr>
        <w:pStyle w:val="3"/>
        <w:rPr>
          <w:b w:val="0"/>
        </w:rPr>
      </w:pPr>
    </w:p>
    <w:p w:rsidR="001A5400" w:rsidRPr="001A5400" w:rsidRDefault="001A5400" w:rsidP="001A5400">
      <w:pPr>
        <w:pStyle w:val="3"/>
        <w:rPr>
          <w:b w:val="0"/>
        </w:rPr>
      </w:pPr>
      <w:r w:rsidRPr="001A5400">
        <w:rPr>
          <w:b w:val="0"/>
        </w:rPr>
        <w:lastRenderedPageBreak/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1A5400">
        <w:rPr>
          <w:b w:val="0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</w:t>
      </w:r>
      <w:hyperlink r:id="rId4" w:anchor="z124" w:history="1">
        <w:r w:rsidRPr="001A5400">
          <w:rPr>
            <w:rStyle w:val="a4"/>
            <w:b w:val="0"/>
          </w:rPr>
          <w:t>главой 4</w:t>
        </w:r>
      </w:hyperlink>
      <w:r w:rsidRPr="001A5400">
        <w:rPr>
          <w:b w:val="0"/>
        </w:rPr>
        <w:t xml:space="preserve"> настоящих Правил, а также</w:t>
      </w:r>
      <w:proofErr w:type="gramEnd"/>
      <w:r w:rsidRPr="001A5400">
        <w:rPr>
          <w:b w:val="0"/>
        </w:rPr>
        <w:t xml:space="preserve"> описание и объем фармацевтических услуг.</w:t>
      </w:r>
    </w:p>
    <w:p w:rsidR="001A5400" w:rsidRDefault="001A5400" w:rsidP="001A5400">
      <w:pPr>
        <w:pStyle w:val="3"/>
      </w:pPr>
      <w:r>
        <w:t>Глава 4.</w:t>
      </w:r>
    </w:p>
    <w:p w:rsidR="001A5400" w:rsidRPr="001A5400" w:rsidRDefault="001A5400" w:rsidP="001A54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A54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18. К закупаемым и отпускаемым, в том числе при закупе фармацевтических услуг, лекарственным средствам и медицинским изделиям, предназначенным для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страхования, предъявляются следующие требования: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включенных в перечень </w:t>
      </w:r>
      <w:proofErr w:type="spell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</w:t>
      </w:r>
      <w:proofErr w:type="gramEnd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соответствие характеристики или технической спецификации условиям объявления или приглашения </w:t>
      </w:r>
      <w:proofErr w:type="gram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закуп.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 этом</w:t>
      </w:r>
      <w:proofErr w:type="gram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непревышение</w:t>
      </w:r>
      <w:proofErr w:type="spellEnd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</w:t>
      </w: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Казахстан на основании заключения (разрешительного документа), выданного уполномоченным органом в области здравоохранения;</w:t>
      </w:r>
      <w:proofErr w:type="gramEnd"/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хранение и транспортирование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 и медицинских изделий, утвержденными уполномоченным органом в области здравоохранения;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порядку, установленному уполномоченным органом в области здравоохранения, за исключением случаев ввоза в Республику Казахстан незарегистрированных лекарственных средств и (или) медицинских изделий;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 срок годности лекарственных средств и медицинских изделий на дату поставки поставщиком заказчику составляет: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срок годности лекарственных средств и медицинских изделий, закупаемых на дату поставки поставщиком единому дистрибьютору, составляет: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шестидесяти процентов от указанного срока годности на упаковке (при сроке годности менее двух лет)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 и не менее пятидесяти процентов при последующих поставках в течение финансового года;</w:t>
      </w:r>
      <w:proofErr w:type="gramEnd"/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четырнадцати месяцев от указанного срока годности на упаковке (при сроке годности два года и более)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  <w:proofErr w:type="gramEnd"/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8) срок годности лекарственных средств и медицинских изделий, за исключением лекарственных средств и медицинских изделий, поставляемых в рамках мобилизационного резерва, а также указанных в </w:t>
      </w:r>
      <w:hyperlink r:id="rId5" w:anchor="z142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9)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на дату поставки единым дистрибьютором заказчику составляет: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тридцати процентов от срока годности, указанного на упаковке (при сроке годности менее двух лет);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восьми месяцев от указанного срока годности на упаковке (при сроке годности два года и более);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9) срок годности вакцин на дату поставки единым дистрибьютором заказчику составляет: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не </w:t>
      </w:r>
      <w:proofErr w:type="gram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сорока процентов</w:t>
      </w:r>
      <w:proofErr w:type="gramEnd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указанного срока годности на упаковке (при сроке годности менее двух лет);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десяти месяцев от указанного срока годности на упаковке (при сроке годности два года и более);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менее сроков годности, указанных в </w:t>
      </w:r>
      <w:hyperlink r:id="rId6" w:anchor="z139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 8)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7" w:anchor="z142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для переходящих остатков лекарственных средств и медицинских изделий единого дистрибьютора, которые поставляются заказчику для использования по назначению до истечения срока их годности;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11) новизна медицинской техники, ее </w:t>
      </w:r>
      <w:proofErr w:type="spell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неиспользованность</w:t>
      </w:r>
      <w:proofErr w:type="spellEnd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производство в период двадцати четырех месяцев, предшествующих моменту поставки;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12) внесение медицинской техники, относящейся к средствам измерения,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Отсутствие необходимости внесения медицинской </w:t>
      </w:r>
      <w:proofErr w:type="gram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 в реестр государственной системы единства измерений Республики</w:t>
      </w:r>
      <w:proofErr w:type="gramEnd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Казахстан подтверждается в соответствии с законодательством Республики Казахстан об обеспечении единства измерений;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13) соблюдение количества, качества и сроков поставки или оказания фармацевтической услуги условиям договора.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19. </w:t>
      </w:r>
      <w:proofErr w:type="gram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Требования, предусмотренные </w:t>
      </w:r>
      <w:hyperlink r:id="rId8" w:anchor="z131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подпунктами 4)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anchor="z132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anchor="z133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anchor="z136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anchor="z139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anchor="z142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 w:anchor="z145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10)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" w:anchor="z146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11)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6" w:anchor="z147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12)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7" w:anchor="z149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13)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18 настоящих Правил, подтверждаются поставщиком при исполнении договора поставки или закупа.</w:t>
      </w:r>
      <w:proofErr w:type="gramEnd"/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20. Заказчик, организатор закупа, единый дистрибьютор не устанавливают к лекарственным средствам и медицинским изделиям требований, не предусмотренных настоящими Правилами.</w:t>
      </w:r>
    </w:p>
    <w:p w:rsidR="006A5ADB" w:rsidRDefault="006A5ADB" w:rsidP="001A5400">
      <w:pPr>
        <w:spacing w:after="0"/>
      </w:pPr>
    </w:p>
    <w:sectPr w:rsidR="006A5ADB" w:rsidSect="006A5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400"/>
    <w:rsid w:val="000B508D"/>
    <w:rsid w:val="001A5400"/>
    <w:rsid w:val="00203C4F"/>
    <w:rsid w:val="006A5ADB"/>
    <w:rsid w:val="006D768B"/>
    <w:rsid w:val="00A73029"/>
    <w:rsid w:val="00DD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ADB"/>
  </w:style>
  <w:style w:type="paragraph" w:styleId="3">
    <w:name w:val="heading 3"/>
    <w:basedOn w:val="a"/>
    <w:link w:val="30"/>
    <w:uiPriority w:val="9"/>
    <w:qFormat/>
    <w:rsid w:val="001A54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54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A5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5400"/>
    <w:rPr>
      <w:color w:val="0000FF"/>
      <w:u w:val="single"/>
    </w:rPr>
  </w:style>
  <w:style w:type="table" w:styleId="a5">
    <w:name w:val="Table Grid"/>
    <w:basedOn w:val="a1"/>
    <w:uiPriority w:val="59"/>
    <w:rsid w:val="001A5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Другое_"/>
    <w:basedOn w:val="a0"/>
    <w:link w:val="a7"/>
    <w:rsid w:val="001A540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7">
    <w:name w:val="Другое"/>
    <w:basedOn w:val="a"/>
    <w:link w:val="a6"/>
    <w:rsid w:val="001A540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P2100000375" TargetMode="External"/><Relationship Id="rId13" Type="http://schemas.openxmlformats.org/officeDocument/2006/relationships/hyperlink" Target="https://adilet.zan.kz/rus/docs/P2100000375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dilet.zan.kz/rus/docs/P2100000375" TargetMode="External"/><Relationship Id="rId12" Type="http://schemas.openxmlformats.org/officeDocument/2006/relationships/hyperlink" Target="https://adilet.zan.kz/rus/docs/P2100000375" TargetMode="External"/><Relationship Id="rId17" Type="http://schemas.openxmlformats.org/officeDocument/2006/relationships/hyperlink" Target="https://adilet.zan.kz/rus/docs/P210000037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dilet.zan.kz/rus/docs/P2100000375" TargetMode="External"/><Relationship Id="rId1" Type="http://schemas.openxmlformats.org/officeDocument/2006/relationships/styles" Target="styles.xml"/><Relationship Id="rId6" Type="http://schemas.openxmlformats.org/officeDocument/2006/relationships/hyperlink" Target="https://adilet.zan.kz/rus/docs/P2100000375" TargetMode="External"/><Relationship Id="rId11" Type="http://schemas.openxmlformats.org/officeDocument/2006/relationships/hyperlink" Target="https://adilet.zan.kz/rus/docs/P2100000375" TargetMode="External"/><Relationship Id="rId5" Type="http://schemas.openxmlformats.org/officeDocument/2006/relationships/hyperlink" Target="https://adilet.zan.kz/rus/docs/P2100000375" TargetMode="External"/><Relationship Id="rId15" Type="http://schemas.openxmlformats.org/officeDocument/2006/relationships/hyperlink" Target="https://adilet.zan.kz/rus/docs/P2100000375" TargetMode="External"/><Relationship Id="rId10" Type="http://schemas.openxmlformats.org/officeDocument/2006/relationships/hyperlink" Target="https://adilet.zan.kz/rus/docs/P2100000375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adilet.zan.kz/rus/docs/P2100000375" TargetMode="External"/><Relationship Id="rId9" Type="http://schemas.openxmlformats.org/officeDocument/2006/relationships/hyperlink" Target="https://adilet.zan.kz/rus/docs/P2100000375" TargetMode="External"/><Relationship Id="rId14" Type="http://schemas.openxmlformats.org/officeDocument/2006/relationships/hyperlink" Target="https://adilet.zan.kz/rus/docs/P21000003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2287</Words>
  <Characters>13040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2021-07-12T11:20:00Z</dcterms:created>
  <dcterms:modified xsi:type="dcterms:W3CDTF">2021-07-12T11:20:00Z</dcterms:modified>
</cp:coreProperties>
</file>